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BE095E" w:rsidRDefault="00F92268" w:rsidP="00850792">
      <w:pPr>
        <w:pStyle w:val="BodyText"/>
        <w:rPr>
          <w:sz w:val="6"/>
          <w:szCs w:val="6"/>
        </w:rPr>
      </w:pPr>
      <w:r w:rsidRPr="00BE095E">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BE095E"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BE095E" w:rsidRDefault="00F92268" w:rsidP="00F246C7">
            <w:pPr>
              <w:pStyle w:val="RefTableData"/>
            </w:pPr>
            <w:r w:rsidRPr="00BE095E">
              <w:t>Reference number(s)</w:t>
            </w:r>
          </w:p>
        </w:tc>
      </w:tr>
      <w:tr w:rsidR="00F92268" w:rsidRPr="00BE095E"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70C2F891" w:rsidR="00F92268" w:rsidRPr="00BE095E" w:rsidRDefault="003B6027" w:rsidP="00F246C7">
            <w:pPr>
              <w:pStyle w:val="RefTableHeader"/>
            </w:pPr>
            <w:r w:rsidRPr="00BE095E">
              <w:t>2009-A</w:t>
            </w:r>
          </w:p>
        </w:tc>
      </w:tr>
    </w:tbl>
    <w:p w14:paraId="74FBA5B4" w14:textId="77777777" w:rsidR="00051356" w:rsidRPr="00BE095E" w:rsidRDefault="00051356" w:rsidP="00A672B3">
      <w:pPr>
        <w:pStyle w:val="BodyText"/>
        <w:rPr>
          <w:b/>
          <w:bCs/>
          <w:sz w:val="16"/>
          <w:szCs w:val="16"/>
        </w:rPr>
        <w:sectPr w:rsidR="00051356" w:rsidRPr="00BE095E" w:rsidSect="00051356">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11776763" w14:textId="341089EA" w:rsidR="003B6027" w:rsidRPr="00BE095E" w:rsidRDefault="003B6027" w:rsidP="003B6027">
      <w:pPr>
        <w:pStyle w:val="Heading1"/>
      </w:pPr>
      <w:r w:rsidRPr="00BE095E">
        <w:t>Specialty Guideline Management</w:t>
      </w:r>
      <w:r w:rsidR="008C54D9" w:rsidRPr="00BE095E">
        <w:br/>
      </w:r>
      <w:r w:rsidRPr="00BE095E">
        <w:t>pazopanib</w:t>
      </w:r>
      <w:r w:rsidR="00FA600A">
        <w:t>-</w:t>
      </w:r>
      <w:r w:rsidR="007D46E5" w:rsidRPr="007D46E5">
        <w:t>Votrient</w:t>
      </w:r>
    </w:p>
    <w:p w14:paraId="78861C92" w14:textId="0D179528" w:rsidR="00203468" w:rsidRPr="00BE095E" w:rsidRDefault="00C64534" w:rsidP="008E0F0D">
      <w:pPr>
        <w:pStyle w:val="Heading2"/>
      </w:pPr>
      <w:r w:rsidRPr="00BE095E">
        <w:t xml:space="preserve">Products Referenced by this </w:t>
      </w:r>
      <w:r w:rsidR="00501602" w:rsidRPr="00BE095E">
        <w:t>Document</w:t>
      </w:r>
    </w:p>
    <w:p w14:paraId="5455152B" w14:textId="77635A45" w:rsidR="008E0F0D" w:rsidRPr="00BE095E" w:rsidRDefault="00D82D85" w:rsidP="008B73E8">
      <w:pPr>
        <w:pStyle w:val="BodyText"/>
      </w:pPr>
      <w:r w:rsidRPr="00BE095E">
        <w:t xml:space="preserve">Drugs that are listed in the </w:t>
      </w:r>
      <w:r w:rsidR="000315F1" w:rsidRPr="00BE095E">
        <w:t>following table</w:t>
      </w:r>
      <w:r w:rsidRPr="00BE095E">
        <w:t xml:space="preserve"> include both brand and generic and all dosage forms and strengths unless otherwise stated. </w:t>
      </w:r>
      <w:proofErr w:type="gramStart"/>
      <w:r w:rsidR="000A607F" w:rsidRPr="000A607F">
        <w:t>Over</w:t>
      </w:r>
      <w:r w:rsidR="006B7797">
        <w:t>-</w:t>
      </w:r>
      <w:r w:rsidR="000A607F" w:rsidRPr="000A607F">
        <w:t>the</w:t>
      </w:r>
      <w:r w:rsidR="006B7797">
        <w:t>-</w:t>
      </w:r>
      <w:r w:rsidR="000A607F" w:rsidRPr="000A607F">
        <w:t>counter</w:t>
      </w:r>
      <w:proofErr w:type="gramEnd"/>
      <w:r w:rsidR="000A607F" w:rsidRPr="000A607F">
        <w:t xml:space="preserve"> (OTC)</w:t>
      </w:r>
      <w:r w:rsidRPr="00BE095E">
        <w:t xml:space="preserve"> products are not included unless otherwise stated.</w:t>
      </w:r>
    </w:p>
    <w:tbl>
      <w:tblPr>
        <w:tblStyle w:val="TableGrid"/>
        <w:tblW w:w="1068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340"/>
        <w:gridCol w:w="5340"/>
      </w:tblGrid>
      <w:tr w:rsidR="003B6027" w:rsidRPr="00BE095E" w14:paraId="457CEE36" w14:textId="77777777" w:rsidTr="006B7797">
        <w:trPr>
          <w:cantSplit/>
          <w:trHeight w:val="288"/>
          <w:tblHeader/>
        </w:trPr>
        <w:tc>
          <w:tcPr>
            <w:tcW w:w="5340" w:type="dxa"/>
            <w:vAlign w:val="center"/>
          </w:tcPr>
          <w:p w14:paraId="74FADDC6" w14:textId="77777777" w:rsidR="003B6027" w:rsidRPr="00BE095E" w:rsidRDefault="003B6027">
            <w:pPr>
              <w:pStyle w:val="TableHeader"/>
            </w:pPr>
            <w:r w:rsidRPr="00BE095E">
              <w:t>Brand Name</w:t>
            </w:r>
          </w:p>
        </w:tc>
        <w:tc>
          <w:tcPr>
            <w:tcW w:w="5340" w:type="dxa"/>
          </w:tcPr>
          <w:p w14:paraId="571AE219" w14:textId="77777777" w:rsidR="003B6027" w:rsidRPr="00BE095E" w:rsidRDefault="003B6027">
            <w:pPr>
              <w:pStyle w:val="TableHeader"/>
            </w:pPr>
            <w:r w:rsidRPr="00BE095E">
              <w:t>Generic Name</w:t>
            </w:r>
          </w:p>
        </w:tc>
      </w:tr>
      <w:tr w:rsidR="003B6027" w:rsidRPr="00BE095E" w14:paraId="311A3451" w14:textId="77777777" w:rsidTr="006B7797">
        <w:trPr>
          <w:cantSplit/>
        </w:trPr>
        <w:tc>
          <w:tcPr>
            <w:tcW w:w="5340" w:type="dxa"/>
          </w:tcPr>
          <w:p w14:paraId="64CB6BA6" w14:textId="435EB3B1" w:rsidR="003B6027" w:rsidRPr="00BE095E" w:rsidRDefault="003B6027">
            <w:pPr>
              <w:pStyle w:val="TableDataUnpadded"/>
            </w:pPr>
            <w:r w:rsidRPr="00BE095E">
              <w:t>Votrient</w:t>
            </w:r>
          </w:p>
        </w:tc>
        <w:tc>
          <w:tcPr>
            <w:tcW w:w="5340" w:type="dxa"/>
          </w:tcPr>
          <w:p w14:paraId="6AEDBDEE" w14:textId="32CADAEE" w:rsidR="003B6027" w:rsidRPr="00BE095E" w:rsidRDefault="003B6027">
            <w:pPr>
              <w:pStyle w:val="TableDataUnpadded"/>
            </w:pPr>
            <w:r w:rsidRPr="00BE095E">
              <w:t>pazopanib</w:t>
            </w:r>
          </w:p>
        </w:tc>
      </w:tr>
    </w:tbl>
    <w:p w14:paraId="14CE6108" w14:textId="26942342" w:rsidR="00FC1AAD" w:rsidRPr="00BE095E" w:rsidRDefault="00ED052F" w:rsidP="00AA2A94">
      <w:pPr>
        <w:pStyle w:val="Heading2"/>
        <w:tabs>
          <w:tab w:val="left" w:pos="9540"/>
        </w:tabs>
      </w:pPr>
      <w:r w:rsidRPr="00BE095E">
        <w:t>Indications</w:t>
      </w:r>
    </w:p>
    <w:p w14:paraId="402E50BD" w14:textId="7A513337" w:rsidR="003B6027" w:rsidRPr="00BE095E" w:rsidRDefault="003B6027" w:rsidP="003B6027">
      <w:pPr>
        <w:pStyle w:val="BodyText"/>
      </w:pPr>
      <w:r w:rsidRPr="00BE095E">
        <w:t>The indications below including FDA-approved indications and compendial uses are considered a covered benefit provided that all the approval criteria are met and the member has no exclusions to the prescribed therapy.</w:t>
      </w:r>
    </w:p>
    <w:p w14:paraId="134B5687" w14:textId="6E9452E5" w:rsidR="00ED052F" w:rsidRPr="00BE095E" w:rsidRDefault="00ED052F" w:rsidP="00ED052F">
      <w:pPr>
        <w:pStyle w:val="Heading3"/>
        <w:keepNext w:val="0"/>
      </w:pPr>
      <w:r w:rsidRPr="00BE095E">
        <w:t>FDA-approved Indications</w:t>
      </w:r>
      <w:r w:rsidR="00FE1DDA" w:rsidRPr="00FE1DDA">
        <w:rPr>
          <w:vertAlign w:val="superscript"/>
        </w:rPr>
        <w:t>1-2</w:t>
      </w:r>
    </w:p>
    <w:p w14:paraId="6655220C" w14:textId="428C7A38" w:rsidR="003B6027" w:rsidRPr="00FE1DDA" w:rsidRDefault="003B6027" w:rsidP="00FE1DDA">
      <w:pPr>
        <w:pStyle w:val="ListParagraph"/>
        <w:numPr>
          <w:ilvl w:val="0"/>
          <w:numId w:val="38"/>
        </w:numPr>
      </w:pPr>
      <w:r w:rsidRPr="00FE1DDA">
        <w:t>Treatment of adults with advanced renal cell carcinoma (RCC)</w:t>
      </w:r>
      <w:r w:rsidR="00BE095E" w:rsidRPr="00FE1DDA">
        <w:t xml:space="preserve"> </w:t>
      </w:r>
    </w:p>
    <w:p w14:paraId="3046B04F" w14:textId="0E68BA57" w:rsidR="003B6027" w:rsidRPr="00FE1DDA" w:rsidRDefault="003B6027" w:rsidP="00FE1DDA">
      <w:pPr>
        <w:pStyle w:val="ListParagraph"/>
        <w:numPr>
          <w:ilvl w:val="0"/>
          <w:numId w:val="38"/>
        </w:numPr>
      </w:pPr>
      <w:r w:rsidRPr="00FE1DDA">
        <w:t>Treatment of adults with advanced soft tissue sarcoma (STS) who have received prior chemotherapy</w:t>
      </w:r>
    </w:p>
    <w:p w14:paraId="3058A5F8" w14:textId="1397012F" w:rsidR="005C778C" w:rsidRPr="00BE095E" w:rsidRDefault="003B6027" w:rsidP="003B6027">
      <w:pPr>
        <w:pStyle w:val="BodyText"/>
      </w:pPr>
      <w:r w:rsidRPr="00BE095E">
        <w:t>Limitations of Use:</w:t>
      </w:r>
      <w:r w:rsidR="00BE095E">
        <w:t xml:space="preserve"> </w:t>
      </w:r>
      <w:r w:rsidRPr="00BE095E">
        <w:t>The efficacy of Votrient for the treatment of patients with adipocytic STS or gastrointestinal stromal tumors has not been demonstrated.</w:t>
      </w:r>
    </w:p>
    <w:p w14:paraId="0B5EC236" w14:textId="2C9BEB53" w:rsidR="0044763A" w:rsidRPr="00BE095E" w:rsidRDefault="009F2EF1" w:rsidP="0044763A">
      <w:pPr>
        <w:pStyle w:val="Heading3"/>
      </w:pPr>
      <w:r w:rsidRPr="00BE095E">
        <w:t>Compendial Uses</w:t>
      </w:r>
      <w:r w:rsidR="00FE1DDA" w:rsidRPr="00FE1DDA">
        <w:rPr>
          <w:vertAlign w:val="superscript"/>
        </w:rPr>
        <w:t>3-8</w:t>
      </w:r>
    </w:p>
    <w:p w14:paraId="79CA0628" w14:textId="3DAA2F12" w:rsidR="003B6027" w:rsidRPr="002C1550" w:rsidRDefault="003B6027" w:rsidP="002C1550">
      <w:pPr>
        <w:pStyle w:val="ListParagraph"/>
        <w:numPr>
          <w:ilvl w:val="0"/>
          <w:numId w:val="45"/>
        </w:numPr>
      </w:pPr>
      <w:r w:rsidRPr="002C1550">
        <w:t>Relapsed or stage IV renal cell carcinoma</w:t>
      </w:r>
    </w:p>
    <w:p w14:paraId="565B3354" w14:textId="525612E0" w:rsidR="003B6027" w:rsidRPr="002C1550" w:rsidRDefault="003B6027" w:rsidP="002C1550">
      <w:pPr>
        <w:pStyle w:val="ListParagraph"/>
        <w:numPr>
          <w:ilvl w:val="0"/>
          <w:numId w:val="45"/>
        </w:numPr>
      </w:pPr>
      <w:r w:rsidRPr="002C1550">
        <w:t xml:space="preserve">Uterine sarcoma </w:t>
      </w:r>
    </w:p>
    <w:p w14:paraId="03CCEEAB" w14:textId="23A1383A" w:rsidR="003B6027" w:rsidRPr="002C1550" w:rsidRDefault="003B6027" w:rsidP="002C1550">
      <w:pPr>
        <w:pStyle w:val="ListParagraph"/>
        <w:numPr>
          <w:ilvl w:val="0"/>
          <w:numId w:val="45"/>
        </w:numPr>
      </w:pPr>
      <w:r w:rsidRPr="002C1550">
        <w:t>Gastrointestinal stromal tumors (GIST)</w:t>
      </w:r>
    </w:p>
    <w:p w14:paraId="67ECBEBB" w14:textId="676CD926" w:rsidR="003B6027" w:rsidRPr="002C1550" w:rsidRDefault="003B6027" w:rsidP="002C1550">
      <w:pPr>
        <w:pStyle w:val="ListParagraph"/>
        <w:numPr>
          <w:ilvl w:val="0"/>
          <w:numId w:val="45"/>
        </w:numPr>
      </w:pPr>
      <w:r w:rsidRPr="002C1550">
        <w:t>Soft tissue sarcoma that is not an adipocytic sarcoma</w:t>
      </w:r>
    </w:p>
    <w:p w14:paraId="005DF703" w14:textId="58089202" w:rsidR="003B6027" w:rsidRPr="002C1550" w:rsidRDefault="003B6027" w:rsidP="002C1550">
      <w:pPr>
        <w:pStyle w:val="ListParagraph"/>
        <w:numPr>
          <w:ilvl w:val="0"/>
          <w:numId w:val="45"/>
        </w:numPr>
      </w:pPr>
      <w:r w:rsidRPr="002C1550">
        <w:t>Medullary, papillary, oncocytic/Hürthle cell, or follicular thyroid carcinoma</w:t>
      </w:r>
    </w:p>
    <w:p w14:paraId="2FD9D0DC" w14:textId="027E7392" w:rsidR="003B6027" w:rsidRPr="002C1550" w:rsidRDefault="003B6027" w:rsidP="002C1550">
      <w:pPr>
        <w:pStyle w:val="ListParagraph"/>
        <w:numPr>
          <w:ilvl w:val="0"/>
          <w:numId w:val="45"/>
        </w:numPr>
      </w:pPr>
      <w:r w:rsidRPr="002C1550">
        <w:lastRenderedPageBreak/>
        <w:t>Bone cancer of one of the following subtypes:</w:t>
      </w:r>
    </w:p>
    <w:p w14:paraId="522E4630" w14:textId="0B824A48" w:rsidR="003B6027" w:rsidRPr="002C1550" w:rsidRDefault="003B6027" w:rsidP="002C1550">
      <w:pPr>
        <w:pStyle w:val="ListParagraph"/>
        <w:numPr>
          <w:ilvl w:val="1"/>
          <w:numId w:val="46"/>
        </w:numPr>
      </w:pPr>
      <w:r w:rsidRPr="002C1550">
        <w:t>Chordoma</w:t>
      </w:r>
    </w:p>
    <w:p w14:paraId="5447857D" w14:textId="4EC4D05F" w:rsidR="003B6027" w:rsidRPr="002C1550" w:rsidRDefault="003B6027" w:rsidP="002C1550">
      <w:pPr>
        <w:pStyle w:val="ListParagraph"/>
        <w:numPr>
          <w:ilvl w:val="1"/>
          <w:numId w:val="46"/>
        </w:numPr>
      </w:pPr>
      <w:r w:rsidRPr="002C1550">
        <w:t>Chondrosarcoma</w:t>
      </w:r>
    </w:p>
    <w:p w14:paraId="56D8F562" w14:textId="18F29704" w:rsidR="003B6027" w:rsidRPr="002C1550" w:rsidRDefault="003B6027" w:rsidP="002C1550">
      <w:pPr>
        <w:pStyle w:val="ListParagraph"/>
        <w:numPr>
          <w:ilvl w:val="1"/>
          <w:numId w:val="46"/>
        </w:numPr>
      </w:pPr>
      <w:r w:rsidRPr="002C1550">
        <w:t xml:space="preserve">Osteosarcoma </w:t>
      </w:r>
    </w:p>
    <w:p w14:paraId="1A975912" w14:textId="356E230A" w:rsidR="003B6027" w:rsidRPr="00BE095E" w:rsidRDefault="003B6027" w:rsidP="00FE1DDA">
      <w:pPr>
        <w:pStyle w:val="BodyText"/>
      </w:pPr>
      <w:r w:rsidRPr="00BE095E">
        <w:t>All other indications are considered experimental/investigational and not medically necessary.</w:t>
      </w:r>
    </w:p>
    <w:p w14:paraId="50A38FBA" w14:textId="392345AE" w:rsidR="00FE0C63" w:rsidRPr="00BE095E" w:rsidRDefault="00685107" w:rsidP="00E050E1">
      <w:pPr>
        <w:pStyle w:val="Heading2"/>
        <w:rPr>
          <w:lang w:val="it-IT"/>
        </w:rPr>
      </w:pPr>
      <w:r w:rsidRPr="00BE095E">
        <w:rPr>
          <w:lang w:val="it-IT"/>
        </w:rPr>
        <w:t>Coverage Criteria</w:t>
      </w:r>
    </w:p>
    <w:p w14:paraId="3DFD0D46" w14:textId="15D8BC3B" w:rsidR="003B6027" w:rsidRPr="00BE095E" w:rsidRDefault="003B6027" w:rsidP="003B6027">
      <w:pPr>
        <w:pStyle w:val="Heading3"/>
        <w:rPr>
          <w:lang w:val="it-IT"/>
        </w:rPr>
      </w:pPr>
      <w:r w:rsidRPr="00BE095E">
        <w:rPr>
          <w:lang w:val="it-IT"/>
        </w:rPr>
        <w:t>Renal Cell Carcinoma</w:t>
      </w:r>
      <w:r w:rsidRPr="00FE1DDA">
        <w:rPr>
          <w:vertAlign w:val="superscript"/>
          <w:lang w:val="it-IT"/>
        </w:rPr>
        <w:t>1,2,3</w:t>
      </w:r>
    </w:p>
    <w:p w14:paraId="2FF31D28" w14:textId="77777777" w:rsidR="003B6027" w:rsidRPr="00BE095E" w:rsidRDefault="003B6027" w:rsidP="003B6027">
      <w:pPr>
        <w:pStyle w:val="BodyText"/>
      </w:pPr>
      <w:r w:rsidRPr="00BE095E">
        <w:t>Authorization of 12 months may be granted when either the following criteria are met:</w:t>
      </w:r>
    </w:p>
    <w:p w14:paraId="1CB2627F" w14:textId="49AEB0F2" w:rsidR="003B6027" w:rsidRPr="00FE1DDA" w:rsidRDefault="003B6027" w:rsidP="00FE1DDA">
      <w:pPr>
        <w:pStyle w:val="ListParagraph"/>
        <w:numPr>
          <w:ilvl w:val="0"/>
          <w:numId w:val="39"/>
        </w:numPr>
      </w:pPr>
      <w:r w:rsidRPr="00FE1DDA">
        <w:t xml:space="preserve">The requested medication will be used as a single agent for treatment of advanced, relapsed, or stage IV renal cell carcinoma. </w:t>
      </w:r>
    </w:p>
    <w:p w14:paraId="0279693F" w14:textId="5A650AC5" w:rsidR="003B6027" w:rsidRPr="00FE1DDA" w:rsidRDefault="003B6027" w:rsidP="00FE1DDA">
      <w:pPr>
        <w:pStyle w:val="ListParagraph"/>
        <w:numPr>
          <w:ilvl w:val="0"/>
          <w:numId w:val="39"/>
        </w:numPr>
      </w:pPr>
      <w:r w:rsidRPr="00FE1DDA">
        <w:t>The requested medication will be used as a single agent for treatment of von Hippel-Lindau (VHL)-associated renal cell carcinoma.</w:t>
      </w:r>
    </w:p>
    <w:p w14:paraId="28810D80" w14:textId="05645A85" w:rsidR="003B6027" w:rsidRPr="00BE095E" w:rsidRDefault="003B6027" w:rsidP="003B6027">
      <w:pPr>
        <w:pStyle w:val="Heading3"/>
      </w:pPr>
      <w:r w:rsidRPr="00BE095E">
        <w:t>Gastrointestinal Stromal Tumors</w:t>
      </w:r>
      <w:r w:rsidRPr="00FE1DDA">
        <w:rPr>
          <w:vertAlign w:val="superscript"/>
        </w:rPr>
        <w:t>3,4</w:t>
      </w:r>
    </w:p>
    <w:p w14:paraId="79EFBBC8" w14:textId="77777777" w:rsidR="003B6027" w:rsidRPr="00BE095E" w:rsidRDefault="003B6027" w:rsidP="003B6027">
      <w:pPr>
        <w:pStyle w:val="BodyText"/>
      </w:pPr>
      <w:r w:rsidRPr="00BE095E">
        <w:t>Authorization of 12 months may be granted for treatment of GIST when any of the following criteria are met:</w:t>
      </w:r>
    </w:p>
    <w:p w14:paraId="7D03E5DF" w14:textId="054E3CD3" w:rsidR="003B6027" w:rsidRPr="00FE1DDA" w:rsidRDefault="003B6027" w:rsidP="00FE1DDA">
      <w:pPr>
        <w:pStyle w:val="ListParagraph"/>
        <w:numPr>
          <w:ilvl w:val="0"/>
          <w:numId w:val="40"/>
        </w:numPr>
      </w:pPr>
      <w:r w:rsidRPr="00FE1DDA">
        <w:t>The requested medication will be used as a single agent for treatment of residual, unresectable, recurrent, or metastatic/tumor rupture GIST after the member has failed at least four FDA-approved therapies (e.g., imatinib, sunitinib, regorafenib and ripretinib).</w:t>
      </w:r>
    </w:p>
    <w:p w14:paraId="19968823" w14:textId="25802ED7" w:rsidR="003B6027" w:rsidRPr="00FE1DDA" w:rsidRDefault="003B6027" w:rsidP="00FE1DDA">
      <w:pPr>
        <w:pStyle w:val="ListParagraph"/>
        <w:numPr>
          <w:ilvl w:val="0"/>
          <w:numId w:val="40"/>
        </w:numPr>
      </w:pPr>
      <w:r w:rsidRPr="00FE1DDA">
        <w:t>The requested medication will be used for treatment of residual, unresectable, tumor rupture or recurrent/metastatic succinate dehydrogenase (SDH)-deficient GIST as a single agent.</w:t>
      </w:r>
    </w:p>
    <w:p w14:paraId="4CBED43B" w14:textId="46AA8A84" w:rsidR="003B6027" w:rsidRPr="00BE095E" w:rsidRDefault="003B6027" w:rsidP="003B6027">
      <w:pPr>
        <w:pStyle w:val="Heading3"/>
      </w:pPr>
      <w:r w:rsidRPr="00BE095E">
        <w:t>Soft Tissue Sarcoma</w:t>
      </w:r>
      <w:r w:rsidRPr="00FE1DDA">
        <w:rPr>
          <w:vertAlign w:val="superscript"/>
        </w:rPr>
        <w:t>1,2,3,4,5</w:t>
      </w:r>
    </w:p>
    <w:p w14:paraId="4FE0B439" w14:textId="77777777" w:rsidR="003B6027" w:rsidRPr="00BE095E" w:rsidRDefault="003B6027" w:rsidP="003B6027">
      <w:pPr>
        <w:pStyle w:val="BodyText"/>
      </w:pPr>
      <w:r w:rsidRPr="00BE095E">
        <w:t>Authorization of 12 months may be granted for treatment of soft tissue sarcoma, excluding adipocytic sarcoma and GIST (see specific criteria for GIST) when either of the following criteria are met:</w:t>
      </w:r>
    </w:p>
    <w:p w14:paraId="7A6ED1E9" w14:textId="534643DC" w:rsidR="003B6027" w:rsidRPr="00FE1DDA" w:rsidRDefault="003B6027" w:rsidP="00FE1DDA">
      <w:pPr>
        <w:pStyle w:val="ListParagraph"/>
        <w:numPr>
          <w:ilvl w:val="0"/>
          <w:numId w:val="41"/>
        </w:numPr>
      </w:pPr>
      <w:r w:rsidRPr="00FE1DDA">
        <w:t>The requested medication will be used as a single agent</w:t>
      </w:r>
    </w:p>
    <w:p w14:paraId="0877C45F" w14:textId="391CCF0C" w:rsidR="003B6027" w:rsidRPr="00FE1DDA" w:rsidRDefault="003B6027" w:rsidP="00FE1DDA">
      <w:pPr>
        <w:pStyle w:val="ListParagraph"/>
        <w:numPr>
          <w:ilvl w:val="0"/>
          <w:numId w:val="41"/>
        </w:numPr>
      </w:pPr>
      <w:r w:rsidRPr="00FE1DDA">
        <w:t>The requested medication will be used for treatment of angiosarcoma or dedifferentiated chordoma and the requested medication will be used in combination with gemcitabine</w:t>
      </w:r>
    </w:p>
    <w:p w14:paraId="3EAE8F8D" w14:textId="4AB5389E" w:rsidR="003B6027" w:rsidRPr="00BE095E" w:rsidRDefault="003B6027" w:rsidP="003B6027">
      <w:pPr>
        <w:pStyle w:val="Heading3"/>
      </w:pPr>
      <w:r w:rsidRPr="00BE095E">
        <w:t>Uterine Sarcoma</w:t>
      </w:r>
      <w:r w:rsidRPr="00FE1DDA">
        <w:rPr>
          <w:vertAlign w:val="superscript"/>
        </w:rPr>
        <w:t>3</w:t>
      </w:r>
    </w:p>
    <w:p w14:paraId="49C5F029" w14:textId="77777777" w:rsidR="003B6027" w:rsidRPr="00BE095E" w:rsidRDefault="003B6027" w:rsidP="003B6027">
      <w:pPr>
        <w:pStyle w:val="BodyText"/>
      </w:pPr>
      <w:r w:rsidRPr="00BE095E">
        <w:t>Authorization of 12 months may be granted as a single agent for subsequent treatment of advanced, recurrent/metastatic or inoperable uterine sarcoma.</w:t>
      </w:r>
    </w:p>
    <w:p w14:paraId="60A1DC60" w14:textId="21852075" w:rsidR="003B6027" w:rsidRPr="00BE095E" w:rsidRDefault="003B6027" w:rsidP="003B6027">
      <w:pPr>
        <w:pStyle w:val="Heading3"/>
      </w:pPr>
      <w:r w:rsidRPr="00BE095E">
        <w:lastRenderedPageBreak/>
        <w:t>Papillary, Oncocytic/Hürthle Cell, or Follicular Thyroid Carcinoma</w:t>
      </w:r>
      <w:r w:rsidRPr="00FE1DDA">
        <w:rPr>
          <w:vertAlign w:val="superscript"/>
        </w:rPr>
        <w:t>3</w:t>
      </w:r>
    </w:p>
    <w:p w14:paraId="3C902797" w14:textId="77777777" w:rsidR="003B6027" w:rsidRPr="00BE095E" w:rsidRDefault="003B6027" w:rsidP="003B6027">
      <w:pPr>
        <w:pStyle w:val="BodyText"/>
      </w:pPr>
      <w:r w:rsidRPr="00BE095E">
        <w:t xml:space="preserve">Authorization of 12 months may be granted for treatment of progressive and/or symptomatic papillary, oncocytic/Hürthle cell, or follicular thyroid carcinoma not amenable to radioactive iodine (RAI) therapy. </w:t>
      </w:r>
    </w:p>
    <w:p w14:paraId="4E7C6B32" w14:textId="1C3782C6" w:rsidR="003B6027" w:rsidRPr="00BE095E" w:rsidRDefault="003B6027" w:rsidP="003B6027">
      <w:pPr>
        <w:pStyle w:val="Heading3"/>
      </w:pPr>
      <w:r w:rsidRPr="00BE095E">
        <w:t>Medullary Thyroid Carcinoma</w:t>
      </w:r>
      <w:r w:rsidRPr="00FE1DDA">
        <w:rPr>
          <w:vertAlign w:val="superscript"/>
        </w:rPr>
        <w:t>3,10</w:t>
      </w:r>
    </w:p>
    <w:p w14:paraId="16294C23" w14:textId="77777777" w:rsidR="003B6027" w:rsidRPr="00BE095E" w:rsidRDefault="003B6027" w:rsidP="003B6027">
      <w:pPr>
        <w:pStyle w:val="BodyText"/>
      </w:pPr>
      <w:r w:rsidRPr="00BE095E">
        <w:t>Authorization of 12 months may be granted for treatment of recurrent or metastatic medullary thyroid carcinoma when either of the following criteria are met:</w:t>
      </w:r>
    </w:p>
    <w:p w14:paraId="495A9A07" w14:textId="765C7389" w:rsidR="003B6027" w:rsidRPr="00FE1DDA" w:rsidRDefault="003B6027" w:rsidP="00FE1DDA">
      <w:pPr>
        <w:pStyle w:val="ListParagraph"/>
        <w:numPr>
          <w:ilvl w:val="0"/>
          <w:numId w:val="42"/>
        </w:numPr>
      </w:pPr>
      <w:r w:rsidRPr="00FE1DDA">
        <w:t>Member has an intolerance or contraindication to FDA approved systemic therapy options (e.g., cabozantinib [Cometriq], vandetanib [Caprelsa]); OR</w:t>
      </w:r>
    </w:p>
    <w:p w14:paraId="33D3EB0A" w14:textId="0B358510" w:rsidR="003B6027" w:rsidRPr="00FE1DDA" w:rsidRDefault="003B6027" w:rsidP="00FE1DDA">
      <w:pPr>
        <w:pStyle w:val="ListParagraph"/>
        <w:numPr>
          <w:ilvl w:val="0"/>
          <w:numId w:val="42"/>
        </w:numPr>
      </w:pPr>
      <w:r w:rsidRPr="00FE1DDA">
        <w:t>Member has disease progression while on FDA approved systemic therapy options (e.g., cabozantinib [Cometriq], vandetanib [Caprelsa]).</w:t>
      </w:r>
    </w:p>
    <w:p w14:paraId="0B84CA99" w14:textId="310C5B27" w:rsidR="003B6027" w:rsidRPr="00BE095E" w:rsidRDefault="003B6027" w:rsidP="003B6027">
      <w:pPr>
        <w:pStyle w:val="Heading3"/>
      </w:pPr>
      <w:r w:rsidRPr="00BE095E">
        <w:t xml:space="preserve">Bone </w:t>
      </w:r>
      <w:r w:rsidR="00FE1DDA">
        <w:t>C</w:t>
      </w:r>
      <w:r w:rsidRPr="00BE095E">
        <w:t>ancer</w:t>
      </w:r>
      <w:r w:rsidRPr="00FE1DDA">
        <w:rPr>
          <w:vertAlign w:val="superscript"/>
        </w:rPr>
        <w:t>7-9</w:t>
      </w:r>
    </w:p>
    <w:p w14:paraId="005D0802" w14:textId="77777777" w:rsidR="003B6027" w:rsidRPr="00BE095E" w:rsidRDefault="003B6027" w:rsidP="003B6027">
      <w:pPr>
        <w:pStyle w:val="BodyText"/>
      </w:pPr>
      <w:r w:rsidRPr="00BE095E">
        <w:t>Authorization of 12 months may be granted for treatment of one of the following subtypes of bone cancer:</w:t>
      </w:r>
    </w:p>
    <w:p w14:paraId="0C08DF97" w14:textId="28B4BE51" w:rsidR="003B6027" w:rsidRPr="00FE1DDA" w:rsidRDefault="003B6027" w:rsidP="00FE1DDA">
      <w:pPr>
        <w:pStyle w:val="ListParagraph"/>
        <w:numPr>
          <w:ilvl w:val="0"/>
          <w:numId w:val="43"/>
        </w:numPr>
      </w:pPr>
      <w:r w:rsidRPr="00FE1DDA">
        <w:t>Chordoma</w:t>
      </w:r>
    </w:p>
    <w:p w14:paraId="4B765370" w14:textId="3A851E21" w:rsidR="003B6027" w:rsidRPr="00FE1DDA" w:rsidRDefault="003B6027" w:rsidP="00FE1DDA">
      <w:pPr>
        <w:pStyle w:val="ListParagraph"/>
        <w:numPr>
          <w:ilvl w:val="0"/>
          <w:numId w:val="43"/>
        </w:numPr>
      </w:pPr>
      <w:r w:rsidRPr="00FE1DDA">
        <w:t>Chondrosarcoma</w:t>
      </w:r>
    </w:p>
    <w:p w14:paraId="7230B479" w14:textId="1645EBA9" w:rsidR="003B6027" w:rsidRPr="00FE1DDA" w:rsidRDefault="003B6027" w:rsidP="00FE1DDA">
      <w:pPr>
        <w:pStyle w:val="ListParagraph"/>
        <w:numPr>
          <w:ilvl w:val="0"/>
          <w:numId w:val="43"/>
        </w:numPr>
      </w:pPr>
      <w:r w:rsidRPr="00FE1DDA">
        <w:t>Osteosarcoma</w:t>
      </w:r>
    </w:p>
    <w:p w14:paraId="3A643EC3" w14:textId="60B512DF" w:rsidR="00A501AC" w:rsidRPr="00BE095E" w:rsidRDefault="00A501AC" w:rsidP="00A501AC">
      <w:pPr>
        <w:pStyle w:val="Heading2"/>
      </w:pPr>
      <w:r w:rsidRPr="00BE095E">
        <w:t>Continuation of Therapy</w:t>
      </w:r>
    </w:p>
    <w:p w14:paraId="23AD0236" w14:textId="32C16661" w:rsidR="003B6027" w:rsidRPr="00FE1DDA" w:rsidRDefault="003B6027" w:rsidP="009D55DF">
      <w:pPr>
        <w:pStyle w:val="BodyText"/>
      </w:pPr>
      <w:r w:rsidRPr="00FE1DDA">
        <w:t>Authorization of 12 months may be granted for continued treatment in members requesting reauthorization for treatment of GIST when there is no evidence of unacceptable toxicity while on the current regimen.</w:t>
      </w:r>
    </w:p>
    <w:p w14:paraId="660D35E5" w14:textId="408163F7" w:rsidR="003B6027" w:rsidRDefault="003B6027" w:rsidP="009D55DF">
      <w:pPr>
        <w:pStyle w:val="BodyText"/>
      </w:pPr>
      <w:r w:rsidRPr="00FE1DDA">
        <w:t>Authorization of 12 months may be granted for continued treatment in members requesting reauthorization for all other indications listed in the coverage criteria section when there is no evidence of unacceptable toxicity or disease progression while on the current regimen.</w:t>
      </w:r>
    </w:p>
    <w:p w14:paraId="721D4201" w14:textId="77777777" w:rsidR="00F91E35" w:rsidRDefault="00F91E35" w:rsidP="009D55DF">
      <w:pPr>
        <w:pStyle w:val="BodyText"/>
        <w:sectPr w:rsidR="00F91E35" w:rsidSect="00AA1E6A">
          <w:footerReference w:type="default" r:id="rId15"/>
          <w:type w:val="continuous"/>
          <w:pgSz w:w="12240" w:h="15840" w:code="1"/>
          <w:pgMar w:top="900" w:right="720" w:bottom="990" w:left="720" w:header="720" w:footer="807" w:gutter="0"/>
          <w:paperSrc w:first="15" w:other="15"/>
          <w:cols w:space="720"/>
          <w:titlePg/>
          <w:docGrid w:linePitch="272"/>
        </w:sectPr>
      </w:pPr>
    </w:p>
    <w:p w14:paraId="10DA4309" w14:textId="11EB700D" w:rsidR="00FF66BF" w:rsidRPr="00BE095E" w:rsidRDefault="00FF66BF" w:rsidP="00FF66BF">
      <w:pPr>
        <w:pStyle w:val="Heading2"/>
      </w:pPr>
      <w:r w:rsidRPr="00BE095E">
        <w:t>References</w:t>
      </w:r>
    </w:p>
    <w:p w14:paraId="2DD8DBE3" w14:textId="77777777" w:rsidR="003B6027" w:rsidRPr="00FE1DDA" w:rsidRDefault="003B6027" w:rsidP="00FE1DDA">
      <w:pPr>
        <w:pStyle w:val="ReferenceOrdered"/>
      </w:pPr>
      <w:r w:rsidRPr="00FE1DDA">
        <w:t>Votrient [package insert]. East Hanover, NJ: Novartis Pharmaceuticals Corporation; January 2024.</w:t>
      </w:r>
    </w:p>
    <w:p w14:paraId="7378588C" w14:textId="77777777" w:rsidR="003B6027" w:rsidRPr="00FE1DDA" w:rsidRDefault="003B6027" w:rsidP="00FE1DDA">
      <w:pPr>
        <w:pStyle w:val="ReferenceOrdered"/>
      </w:pPr>
      <w:r w:rsidRPr="00FE1DDA">
        <w:t>Pazopanib [package insert]. Parsippany, NJ: Teva Pharmaceuticals; April 2023.</w:t>
      </w:r>
    </w:p>
    <w:p w14:paraId="6AE9DED4" w14:textId="2FB9F9EF" w:rsidR="003B6027" w:rsidRPr="00FE1DDA" w:rsidRDefault="003B6027" w:rsidP="00FE1DDA">
      <w:pPr>
        <w:pStyle w:val="ReferenceOrdered"/>
      </w:pPr>
      <w:r w:rsidRPr="00FE1DDA">
        <w:t>The NCCN Drugs &amp; Biologics Compendium® © 2024 National Comprehensive Cancer Network, Inc. http://www.nccn.org. Accessed May 3, 2024.</w:t>
      </w:r>
      <w:r w:rsidR="00BE095E" w:rsidRPr="00FE1DDA">
        <w:t xml:space="preserve"> </w:t>
      </w:r>
    </w:p>
    <w:p w14:paraId="2916617B" w14:textId="77777777" w:rsidR="003B6027" w:rsidRPr="00FE1DDA" w:rsidRDefault="003B6027" w:rsidP="00FE1DDA">
      <w:pPr>
        <w:pStyle w:val="ReferenceOrdered"/>
      </w:pPr>
      <w:r w:rsidRPr="00CA7C53">
        <w:t xml:space="preserve">Ganjoo KN, Villalobos VM, Kamaya A, et al. </w:t>
      </w:r>
      <w:r w:rsidRPr="00FE1DDA">
        <w:t>A multicenter phase II study of pazopanib in patients with advanced gastrointestinal stromal tumors (GIST) following failure of at least imatinib and sunitinib. Ann Oncol 2014;25(1):236-40.</w:t>
      </w:r>
    </w:p>
    <w:p w14:paraId="5AA665E7" w14:textId="77777777" w:rsidR="003B6027" w:rsidRPr="00FE1DDA" w:rsidRDefault="003B6027" w:rsidP="00FE1DDA">
      <w:pPr>
        <w:pStyle w:val="ReferenceOrdered"/>
      </w:pPr>
      <w:r w:rsidRPr="00FE1DDA">
        <w:lastRenderedPageBreak/>
        <w:t xml:space="preserve">van der Graaf WT, Blay JY, Chawla SP, et al. Pazopanib for metastatic soft-tissue sarcoma (PALETTE): a </w:t>
      </w:r>
      <w:proofErr w:type="spellStart"/>
      <w:r w:rsidRPr="00FE1DDA">
        <w:t>randomised</w:t>
      </w:r>
      <w:proofErr w:type="spellEnd"/>
      <w:r w:rsidRPr="00FE1DDA">
        <w:t xml:space="preserve">, double blind, placebo-controlled phase 3 trial. Lancet. 2012;379(9829):1879-1886. </w:t>
      </w:r>
    </w:p>
    <w:p w14:paraId="3CA02DED" w14:textId="77777777" w:rsidR="003B6027" w:rsidRPr="00FE1DDA" w:rsidRDefault="003B6027" w:rsidP="00FE1DDA">
      <w:pPr>
        <w:pStyle w:val="ReferenceOrdered"/>
      </w:pPr>
      <w:r w:rsidRPr="00FE1DDA">
        <w:t xml:space="preserve">Nakano K, Motoi N, Inagaki L, et al. Differences in the responses to pazopanib and the prognoses of soft tissue sarcomas by their histological eligibility for the PALETTE study. </w:t>
      </w:r>
      <w:proofErr w:type="spellStart"/>
      <w:r w:rsidRPr="00FE1DDA">
        <w:t>Jpn</w:t>
      </w:r>
      <w:proofErr w:type="spellEnd"/>
      <w:r w:rsidRPr="00FE1DDA">
        <w:t xml:space="preserve"> J Clin Oncol. 2015;45(5):449-455.</w:t>
      </w:r>
    </w:p>
    <w:p w14:paraId="680EC339" w14:textId="77777777" w:rsidR="003B6027" w:rsidRPr="00FE1DDA" w:rsidRDefault="003B6027" w:rsidP="00FE1DDA">
      <w:pPr>
        <w:pStyle w:val="ReferenceOrdered"/>
      </w:pPr>
      <w:proofErr w:type="spellStart"/>
      <w:r w:rsidRPr="00FE1DDA">
        <w:t>Lipplaa</w:t>
      </w:r>
      <w:proofErr w:type="spellEnd"/>
      <w:r w:rsidRPr="00FE1DDA">
        <w:t xml:space="preserve"> A, Dijkstra S, </w:t>
      </w:r>
      <w:proofErr w:type="spellStart"/>
      <w:r w:rsidRPr="00FE1DDA">
        <w:t>Gelderblom</w:t>
      </w:r>
      <w:proofErr w:type="spellEnd"/>
      <w:r w:rsidRPr="00FE1DDA">
        <w:t xml:space="preserve"> H. Efficacy of pazopanib and sunitinib in advanced axial chordoma: a single reference </w:t>
      </w:r>
      <w:proofErr w:type="spellStart"/>
      <w:r w:rsidRPr="00FE1DDA">
        <w:t>centre</w:t>
      </w:r>
      <w:proofErr w:type="spellEnd"/>
      <w:r w:rsidRPr="00FE1DDA">
        <w:t xml:space="preserve"> case series. Clin Sarcoma Res. 2016;6:19.</w:t>
      </w:r>
    </w:p>
    <w:p w14:paraId="196451A7" w14:textId="77777777" w:rsidR="003B6027" w:rsidRPr="00FE1DDA" w:rsidRDefault="003B6027" w:rsidP="00FE1DDA">
      <w:pPr>
        <w:pStyle w:val="ReferenceOrdered"/>
      </w:pPr>
      <w:r w:rsidRPr="00CA7C53">
        <w:t xml:space="preserve">Jones RL, Katz D, Loggers ET, et al. </w:t>
      </w:r>
      <w:r w:rsidRPr="00FE1DDA">
        <w:t>Clinical benefit of antiangiogenic therapy in advanced and metastatic chondrosarcoma. Med Oncol. 2017;34:167.</w:t>
      </w:r>
    </w:p>
    <w:p w14:paraId="389D3562" w14:textId="77777777" w:rsidR="003B6027" w:rsidRPr="00FE1DDA" w:rsidRDefault="003B6027" w:rsidP="00FE1DDA">
      <w:pPr>
        <w:pStyle w:val="ReferenceOrdered"/>
      </w:pPr>
      <w:r w:rsidRPr="00FE1DDA">
        <w:t>Safwat A, Boysen A, Lücke A, et al. Pazopanib in metastatic osteosarcoma: Significant clinical response in three consecutive patients. Acta Oncol. 2014;53(10):1451-1454.</w:t>
      </w:r>
    </w:p>
    <w:p w14:paraId="47E1A10C" w14:textId="1FA3CE5B" w:rsidR="00C44990" w:rsidRPr="008F1774" w:rsidRDefault="003B6027" w:rsidP="00802768">
      <w:pPr>
        <w:pStyle w:val="ReferenceOrdered"/>
      </w:pPr>
      <w:r w:rsidRPr="00FE1DDA">
        <w:t>NCCN Clinical Practice Guidelines in Oncology (NCCN Guidelines): Thyroid Carcinoma. Version 2.2024. Accessed May 2, 2024.</w:t>
      </w:r>
    </w:p>
    <w:sectPr w:rsidR="00C44990" w:rsidRPr="008F1774" w:rsidSect="00AA1E6A">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95B4F8" w14:textId="77777777" w:rsidR="00D56F2E" w:rsidRDefault="00D56F2E">
      <w:r>
        <w:separator/>
      </w:r>
    </w:p>
  </w:endnote>
  <w:endnote w:type="continuationSeparator" w:id="0">
    <w:p w14:paraId="02CDCD5B" w14:textId="77777777" w:rsidR="00D56F2E" w:rsidRDefault="00D56F2E">
      <w:r>
        <w:continuationSeparator/>
      </w:r>
    </w:p>
  </w:endnote>
  <w:endnote w:type="continuationNotice" w:id="1">
    <w:p w14:paraId="71B65FD7" w14:textId="77777777" w:rsidR="00D56F2E" w:rsidRDefault="00D56F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F612B60"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61564E" w:rsidRPr="0061564E">
      <w:rPr>
        <w:rFonts w:cs="Arial"/>
        <w:noProof/>
        <w:sz w:val="16"/>
        <w:szCs w:val="16"/>
      </w:rPr>
      <w:t>UM</w:t>
    </w:r>
    <w:r w:rsidR="0061564E">
      <w:rPr>
        <w:rFonts w:cs="Arial"/>
        <w:noProof/>
        <w:snapToGrid w:val="0"/>
        <w:color w:val="000000"/>
        <w:sz w:val="16"/>
        <w:szCs w:val="16"/>
      </w:rPr>
      <w:t xml:space="preserve"> Word PRIMARY</w:t>
    </w:r>
    <w:r w:rsidR="0061564E" w:rsidRPr="0061564E">
      <w:rPr>
        <w:rFonts w:cs="Arial"/>
        <w:noProof/>
        <w:sz w:val="16"/>
        <w:szCs w:val="16"/>
      </w:rPr>
      <w:t xml:space="preserve"> Template</w:t>
    </w:r>
    <w:r w:rsidR="0061564E">
      <w:rPr>
        <w:rFonts w:cs="Arial"/>
        <w:noProof/>
        <w:snapToGrid w:val="0"/>
        <w:color w:val="000000"/>
        <w:sz w:val="16"/>
        <w:szCs w:val="16"/>
      </w:rPr>
      <w:t xml:space="preserve"> (A11y) - FINAL .24_For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0014A21D"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F8717B" w:rsidRPr="00802768">
      <w:rPr>
        <w:rFonts w:cs="Arial"/>
        <w:noProof/>
        <w:sz w:val="16"/>
        <w:szCs w:val="16"/>
      </w:rPr>
      <w:t>pazopanib-Votrient</w:t>
    </w:r>
    <w:r w:rsidR="00F8717B">
      <w:rPr>
        <w:rFonts w:cs="Arial"/>
        <w:noProof/>
        <w:snapToGrid w:val="0"/>
        <w:color w:val="000000"/>
        <w:sz w:val="16"/>
        <w:szCs w:val="16"/>
      </w:rPr>
      <w:t xml:space="preserve"> SGM 2009-A</w:t>
    </w:r>
    <w:r w:rsidR="00F8717B" w:rsidRPr="00802768">
      <w:rPr>
        <w:rFonts w:cs="Arial"/>
        <w:noProof/>
        <w:sz w:val="16"/>
        <w:szCs w:val="16"/>
      </w:rPr>
      <w:t xml:space="preserve"> </w:t>
    </w:r>
    <w:r w:rsidR="008F1774">
      <w:rPr>
        <w:rFonts w:cs="Arial"/>
        <w:noProof/>
        <w:sz w:val="16"/>
        <w:szCs w:val="16"/>
      </w:rPr>
      <w:t>P</w:t>
    </w:r>
    <w:r w:rsidR="00F8717B" w:rsidRPr="00802768">
      <w:rPr>
        <w:rFonts w:cs="Arial"/>
        <w:noProof/>
        <w:sz w:val="16"/>
        <w:szCs w:val="16"/>
      </w:rPr>
      <w:t>2024</w:t>
    </w:r>
    <w:r w:rsidR="00F8717B">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w:t>
    </w:r>
    <w:r w:rsidR="00D74279" w:rsidRPr="00EC47B6">
      <w:rPr>
        <w:rFonts w:cs="Arial"/>
        <w:snapToGrid w:val="0"/>
        <w:color w:val="000000"/>
        <w:sz w:val="16"/>
      </w:rPr>
      <w:t>4</w:t>
    </w:r>
    <w:r w:rsidRPr="00EC47B6">
      <w:rPr>
        <w:rFonts w:cs="Arial"/>
        <w:snapToGrid w:val="0"/>
        <w:color w:val="000000"/>
        <w:sz w:val="16"/>
      </w:rPr>
      <w:t xml:space="preserve"> CVS Caremark. All rights reserved.</w:t>
    </w:r>
  </w:p>
  <w:p w14:paraId="39BFE579" w14:textId="77777777"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4F317B8" w14:textId="24400FAB" w:rsidR="00ED04EC" w:rsidRPr="00F50D98" w:rsidRDefault="00F50D98" w:rsidP="00802768">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F1DD43" w14:textId="388AE9D7" w:rsidR="00BE095E" w:rsidRPr="00EC47B6" w:rsidRDefault="00BE095E" w:rsidP="00BE095E">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F8717B" w:rsidRPr="00802768">
      <w:rPr>
        <w:rFonts w:cs="Arial"/>
        <w:noProof/>
        <w:sz w:val="16"/>
        <w:szCs w:val="16"/>
      </w:rPr>
      <w:t>pazopanib-Votrient</w:t>
    </w:r>
    <w:r w:rsidR="00F8717B">
      <w:rPr>
        <w:rFonts w:cs="Arial"/>
        <w:noProof/>
        <w:snapToGrid w:val="0"/>
        <w:color w:val="000000"/>
        <w:sz w:val="16"/>
        <w:szCs w:val="16"/>
      </w:rPr>
      <w:t xml:space="preserve"> SGM 2009-A</w:t>
    </w:r>
    <w:r w:rsidR="00F8717B" w:rsidRPr="00802768">
      <w:rPr>
        <w:rFonts w:cs="Arial"/>
        <w:noProof/>
        <w:sz w:val="16"/>
        <w:szCs w:val="16"/>
      </w:rPr>
      <w:t xml:space="preserve"> </w:t>
    </w:r>
    <w:r w:rsidR="008F1774">
      <w:rPr>
        <w:rFonts w:cs="Arial"/>
        <w:noProof/>
        <w:sz w:val="16"/>
        <w:szCs w:val="16"/>
      </w:rPr>
      <w:t>P</w:t>
    </w:r>
    <w:r w:rsidR="00F8717B" w:rsidRPr="00802768">
      <w:rPr>
        <w:rFonts w:cs="Arial"/>
        <w:noProof/>
        <w:sz w:val="16"/>
        <w:szCs w:val="16"/>
      </w:rPr>
      <w:t>2024</w:t>
    </w:r>
    <w:r w:rsidR="00F8717B">
      <w:rPr>
        <w:rFonts w:cs="Arial"/>
        <w:noProof/>
        <w:snapToGrid w:val="0"/>
        <w:color w:val="000000"/>
        <w:sz w:val="16"/>
        <w:szCs w:val="16"/>
      </w:rPr>
      <w:t>_R.docx</w:t>
    </w:r>
    <w:r w:rsidRPr="00EC47B6">
      <w:rPr>
        <w:rFonts w:cs="Arial"/>
        <w:noProof/>
        <w:sz w:val="16"/>
        <w:szCs w:val="16"/>
      </w:rPr>
      <w:fldChar w:fldCharType="end"/>
    </w:r>
    <w:r w:rsidRPr="00EC47B6">
      <w:rPr>
        <w:rFonts w:cs="Arial"/>
        <w:snapToGrid w:val="0"/>
        <w:color w:val="000000"/>
        <w:sz w:val="16"/>
      </w:rPr>
      <w:tab/>
      <w:t>© 2024 CVS Caremark. All rights reserved.</w:t>
    </w:r>
  </w:p>
  <w:p w14:paraId="32C20CA9" w14:textId="77777777" w:rsidR="00BE095E" w:rsidRPr="00EC47B6" w:rsidRDefault="00BE095E" w:rsidP="00BE095E">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33977772" w14:textId="6DF2CD63" w:rsidR="00BE095E" w:rsidRPr="00F50D98" w:rsidRDefault="00BE095E" w:rsidP="00802768">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1</w:t>
    </w:r>
    <w:r w:rsidRPr="00EC47B6">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CAAED9" w14:textId="77777777" w:rsidR="00D56F2E" w:rsidRDefault="00D56F2E">
      <w:r>
        <w:separator/>
      </w:r>
    </w:p>
  </w:footnote>
  <w:footnote w:type="continuationSeparator" w:id="0">
    <w:p w14:paraId="0C8851B3" w14:textId="77777777" w:rsidR="00D56F2E" w:rsidRDefault="00D56F2E">
      <w:r>
        <w:continuationSeparator/>
      </w:r>
    </w:p>
  </w:footnote>
  <w:footnote w:type="continuationNotice" w:id="1">
    <w:p w14:paraId="42DACF04" w14:textId="77777777" w:rsidR="00D56F2E" w:rsidRDefault="00D56F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6F8FB7AF" w:rsidR="00ED04EC" w:rsidRPr="00BE095E" w:rsidRDefault="00ED04EC" w:rsidP="00DB1DE8">
          <w:pPr>
            <w:pStyle w:val="RefTableData"/>
          </w:pPr>
          <w:r w:rsidRPr="00BE095E">
            <w:t>Reference number(s)</w:t>
          </w:r>
        </w:p>
      </w:tc>
    </w:tr>
    <w:tr w:rsidR="00ED04EC" w:rsidRPr="00ED04EC" w14:paraId="703C6588" w14:textId="2D2495B3">
      <w:trPr>
        <w:trHeight w:val="378"/>
        <w:jc w:val="right"/>
      </w:trPr>
      <w:tc>
        <w:tcPr>
          <w:tcW w:w="1854" w:type="dxa"/>
          <w:hideMark/>
        </w:tcPr>
        <w:p w14:paraId="51CE3E64" w14:textId="30B18435" w:rsidR="00ED04EC" w:rsidRPr="00DB1DE8" w:rsidRDefault="003B6027" w:rsidP="00DB1DE8">
          <w:pPr>
            <w:pStyle w:val="RefTableHeader"/>
          </w:pPr>
          <w:r w:rsidRPr="00DB1DE8">
            <w:t>2009-A</w:t>
          </w:r>
        </w:p>
      </w:tc>
    </w:tr>
  </w:tbl>
  <w:p w14:paraId="0D5ACCC2" w14:textId="3470AA4A" w:rsidR="00ED04EC" w:rsidRPr="00AA1E6A" w:rsidRDefault="00ED04EC" w:rsidP="00B02279">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7865245"/>
    <w:multiLevelType w:val="hybridMultilevel"/>
    <w:tmpl w:val="D382DB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641A23"/>
    <w:multiLevelType w:val="hybridMultilevel"/>
    <w:tmpl w:val="C778CF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F7B1045"/>
    <w:multiLevelType w:val="hybridMultilevel"/>
    <w:tmpl w:val="861C5974"/>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161698D"/>
    <w:multiLevelType w:val="hybridMultilevel"/>
    <w:tmpl w:val="272C11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7653714"/>
    <w:multiLevelType w:val="hybridMultilevel"/>
    <w:tmpl w:val="7DBAB1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9A57507"/>
    <w:multiLevelType w:val="hybridMultilevel"/>
    <w:tmpl w:val="76809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0"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20C155C8"/>
    <w:multiLevelType w:val="hybridMultilevel"/>
    <w:tmpl w:val="6982F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5B016D3"/>
    <w:multiLevelType w:val="hybridMultilevel"/>
    <w:tmpl w:val="8B0CDF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707FFE"/>
    <w:multiLevelType w:val="hybridMultilevel"/>
    <w:tmpl w:val="22FA4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66C1A32"/>
    <w:multiLevelType w:val="hybridMultilevel"/>
    <w:tmpl w:val="71BCA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AC0030"/>
    <w:multiLevelType w:val="hybridMultilevel"/>
    <w:tmpl w:val="B4E2E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AB95B3F"/>
    <w:multiLevelType w:val="hybridMultilevel"/>
    <w:tmpl w:val="61489034"/>
    <w:lvl w:ilvl="0" w:tplc="0409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1" w15:restartNumberingAfterBreak="0">
    <w:nsid w:val="4B0E2383"/>
    <w:multiLevelType w:val="hybridMultilevel"/>
    <w:tmpl w:val="AC8E7442"/>
    <w:lvl w:ilvl="0" w:tplc="FFFFFFFF">
      <w:start w:val="1"/>
      <w:numFmt w:val="bullet"/>
      <w:lvlText w:val=""/>
      <w:lvlJc w:val="left"/>
      <w:pPr>
        <w:ind w:left="720" w:hanging="360"/>
      </w:pPr>
      <w:rPr>
        <w:rFonts w:ascii="Symbol" w:hAnsi="Symbol" w:hint="default"/>
      </w:rPr>
    </w:lvl>
    <w:lvl w:ilvl="1" w:tplc="081D0005">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4E7F34AE"/>
    <w:multiLevelType w:val="hybridMultilevel"/>
    <w:tmpl w:val="5838E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18F1E87"/>
    <w:multiLevelType w:val="hybridMultilevel"/>
    <w:tmpl w:val="AE206D4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87F1F78"/>
    <w:multiLevelType w:val="hybridMultilevel"/>
    <w:tmpl w:val="CA6C3A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28D4AB7"/>
    <w:multiLevelType w:val="hybridMultilevel"/>
    <w:tmpl w:val="1AB866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4C914D4"/>
    <w:multiLevelType w:val="hybridMultilevel"/>
    <w:tmpl w:val="6B843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5BB5175"/>
    <w:multiLevelType w:val="hybridMultilevel"/>
    <w:tmpl w:val="6E5E96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4"/>
  </w:num>
  <w:num w:numId="2" w16cid:durableId="606935877">
    <w:abstractNumId w:val="38"/>
  </w:num>
  <w:num w:numId="3" w16cid:durableId="611589570">
    <w:abstractNumId w:val="33"/>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5"/>
  </w:num>
  <w:num w:numId="15" w16cid:durableId="616722934">
    <w:abstractNumId w:val="10"/>
  </w:num>
  <w:num w:numId="16" w16cid:durableId="898320195">
    <w:abstractNumId w:val="25"/>
  </w:num>
  <w:num w:numId="17" w16cid:durableId="2128498676">
    <w:abstractNumId w:val="44"/>
  </w:num>
  <w:num w:numId="18" w16cid:durableId="299724409">
    <w:abstractNumId w:val="35"/>
  </w:num>
  <w:num w:numId="19" w16cid:durableId="214585573">
    <w:abstractNumId w:val="19"/>
  </w:num>
  <w:num w:numId="20" w16cid:durableId="1289816170">
    <w:abstractNumId w:val="20"/>
  </w:num>
  <w:num w:numId="21" w16cid:durableId="1066490929">
    <w:abstractNumId w:val="45"/>
  </w:num>
  <w:num w:numId="22" w16cid:durableId="1472481103">
    <w:abstractNumId w:val="37"/>
  </w:num>
  <w:num w:numId="23" w16cid:durableId="1997420403">
    <w:abstractNumId w:val="40"/>
  </w:num>
  <w:num w:numId="24" w16cid:durableId="33312838">
    <w:abstractNumId w:val="36"/>
  </w:num>
  <w:num w:numId="25" w16cid:durableId="507404939">
    <w:abstractNumId w:val="24"/>
  </w:num>
  <w:num w:numId="26" w16cid:durableId="1950313333">
    <w:abstractNumId w:val="29"/>
  </w:num>
  <w:num w:numId="27" w16cid:durableId="1866016584">
    <w:abstractNumId w:val="27"/>
  </w:num>
  <w:num w:numId="28" w16cid:durableId="666254712">
    <w:abstractNumId w:val="39"/>
  </w:num>
  <w:num w:numId="29" w16cid:durableId="1722095340">
    <w:abstractNumId w:val="18"/>
  </w:num>
  <w:num w:numId="30" w16cid:durableId="1009679702">
    <w:abstractNumId w:val="30"/>
  </w:num>
  <w:num w:numId="31" w16cid:durableId="1010987467">
    <w:abstractNumId w:val="34"/>
  </w:num>
  <w:num w:numId="32" w16cid:durableId="1611088795">
    <w:abstractNumId w:val="13"/>
  </w:num>
  <w:num w:numId="33" w16cid:durableId="1198548858">
    <w:abstractNumId w:val="42"/>
  </w:num>
  <w:num w:numId="34" w16cid:durableId="1222251441">
    <w:abstractNumId w:val="23"/>
  </w:num>
  <w:num w:numId="35" w16cid:durableId="1455055675">
    <w:abstractNumId w:val="12"/>
  </w:num>
  <w:num w:numId="36" w16cid:durableId="1773361155">
    <w:abstractNumId w:val="26"/>
  </w:num>
  <w:num w:numId="37" w16cid:durableId="516968320">
    <w:abstractNumId w:val="17"/>
  </w:num>
  <w:num w:numId="38" w16cid:durableId="1345092522">
    <w:abstractNumId w:val="43"/>
  </w:num>
  <w:num w:numId="39" w16cid:durableId="646320974">
    <w:abstractNumId w:val="32"/>
  </w:num>
  <w:num w:numId="40" w16cid:durableId="1865821695">
    <w:abstractNumId w:val="28"/>
  </w:num>
  <w:num w:numId="41" w16cid:durableId="1586306420">
    <w:abstractNumId w:val="22"/>
  </w:num>
  <w:num w:numId="42" w16cid:durableId="1842236009">
    <w:abstractNumId w:val="41"/>
  </w:num>
  <w:num w:numId="43" w16cid:durableId="987051785">
    <w:abstractNumId w:val="21"/>
  </w:num>
  <w:num w:numId="44" w16cid:durableId="37242520">
    <w:abstractNumId w:val="11"/>
  </w:num>
  <w:num w:numId="45" w16cid:durableId="2006780538">
    <w:abstractNumId w:val="16"/>
  </w:num>
  <w:num w:numId="46" w16cid:durableId="334066634">
    <w:abstractNumId w:val="3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1200"/>
    <w:rsid w:val="0004226E"/>
    <w:rsid w:val="000425B0"/>
    <w:rsid w:val="00043056"/>
    <w:rsid w:val="0004480D"/>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3E8"/>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07F"/>
    <w:rsid w:val="000A6C30"/>
    <w:rsid w:val="000A71EC"/>
    <w:rsid w:val="000A72BA"/>
    <w:rsid w:val="000A7D51"/>
    <w:rsid w:val="000B0F9D"/>
    <w:rsid w:val="000B104D"/>
    <w:rsid w:val="000B1961"/>
    <w:rsid w:val="000B20CD"/>
    <w:rsid w:val="000B40A1"/>
    <w:rsid w:val="000B579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436C"/>
    <w:rsid w:val="000C5A6F"/>
    <w:rsid w:val="000C625F"/>
    <w:rsid w:val="000C6C34"/>
    <w:rsid w:val="000C6FAA"/>
    <w:rsid w:val="000C7000"/>
    <w:rsid w:val="000C78EA"/>
    <w:rsid w:val="000C7B51"/>
    <w:rsid w:val="000C7EA2"/>
    <w:rsid w:val="000D0438"/>
    <w:rsid w:val="000D04AF"/>
    <w:rsid w:val="000D1463"/>
    <w:rsid w:val="000D19C4"/>
    <w:rsid w:val="000D1CEC"/>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CA7"/>
    <w:rsid w:val="000E3DD4"/>
    <w:rsid w:val="000E65C5"/>
    <w:rsid w:val="000E6D53"/>
    <w:rsid w:val="000E7263"/>
    <w:rsid w:val="000E7B01"/>
    <w:rsid w:val="000E7C60"/>
    <w:rsid w:val="000F0AC9"/>
    <w:rsid w:val="000F1039"/>
    <w:rsid w:val="000F1FBC"/>
    <w:rsid w:val="000F2A45"/>
    <w:rsid w:val="000F2CC4"/>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111"/>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494A"/>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752"/>
    <w:rsid w:val="00154B0F"/>
    <w:rsid w:val="00154E30"/>
    <w:rsid w:val="00155A51"/>
    <w:rsid w:val="001560C4"/>
    <w:rsid w:val="00156A50"/>
    <w:rsid w:val="00156B77"/>
    <w:rsid w:val="00156E31"/>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3D7E"/>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D43"/>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37E07"/>
    <w:rsid w:val="00240136"/>
    <w:rsid w:val="00240736"/>
    <w:rsid w:val="00240C70"/>
    <w:rsid w:val="0024185D"/>
    <w:rsid w:val="002423DE"/>
    <w:rsid w:val="00242E29"/>
    <w:rsid w:val="00242F54"/>
    <w:rsid w:val="00243017"/>
    <w:rsid w:val="0024305D"/>
    <w:rsid w:val="00244442"/>
    <w:rsid w:val="0024498F"/>
    <w:rsid w:val="00247014"/>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8A5"/>
    <w:rsid w:val="00273E66"/>
    <w:rsid w:val="00273FEB"/>
    <w:rsid w:val="002754FA"/>
    <w:rsid w:val="00276114"/>
    <w:rsid w:val="0027637A"/>
    <w:rsid w:val="002763A4"/>
    <w:rsid w:val="002765AF"/>
    <w:rsid w:val="00276AF9"/>
    <w:rsid w:val="00277212"/>
    <w:rsid w:val="00277398"/>
    <w:rsid w:val="002773DB"/>
    <w:rsid w:val="00277791"/>
    <w:rsid w:val="002777DF"/>
    <w:rsid w:val="002807CC"/>
    <w:rsid w:val="00280C69"/>
    <w:rsid w:val="00280EC5"/>
    <w:rsid w:val="00281A75"/>
    <w:rsid w:val="00281F6C"/>
    <w:rsid w:val="0028234F"/>
    <w:rsid w:val="0028452B"/>
    <w:rsid w:val="00284D74"/>
    <w:rsid w:val="00285DDF"/>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9B8"/>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550"/>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1A5"/>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5A"/>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7428"/>
    <w:rsid w:val="003279BA"/>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97160"/>
    <w:rsid w:val="003A0693"/>
    <w:rsid w:val="003A2056"/>
    <w:rsid w:val="003A2E60"/>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027"/>
    <w:rsid w:val="003B6158"/>
    <w:rsid w:val="003B7DE9"/>
    <w:rsid w:val="003C1EA0"/>
    <w:rsid w:val="003C219B"/>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3A0"/>
    <w:rsid w:val="003E374E"/>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1798"/>
    <w:rsid w:val="004127A0"/>
    <w:rsid w:val="00412ABD"/>
    <w:rsid w:val="00412C14"/>
    <w:rsid w:val="00413801"/>
    <w:rsid w:val="00413861"/>
    <w:rsid w:val="0041471C"/>
    <w:rsid w:val="004154F5"/>
    <w:rsid w:val="0041567E"/>
    <w:rsid w:val="004159B2"/>
    <w:rsid w:val="004172BF"/>
    <w:rsid w:val="00420227"/>
    <w:rsid w:val="00420545"/>
    <w:rsid w:val="00420E1B"/>
    <w:rsid w:val="00420EE4"/>
    <w:rsid w:val="00421305"/>
    <w:rsid w:val="00421F14"/>
    <w:rsid w:val="0042209A"/>
    <w:rsid w:val="0042222E"/>
    <w:rsid w:val="00422416"/>
    <w:rsid w:val="004226CD"/>
    <w:rsid w:val="00422766"/>
    <w:rsid w:val="00422F1D"/>
    <w:rsid w:val="004236F4"/>
    <w:rsid w:val="00423C96"/>
    <w:rsid w:val="00425453"/>
    <w:rsid w:val="004260D4"/>
    <w:rsid w:val="004260DE"/>
    <w:rsid w:val="0042761F"/>
    <w:rsid w:val="00427B15"/>
    <w:rsid w:val="00430B2F"/>
    <w:rsid w:val="00430D67"/>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1CD"/>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5C55"/>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4FE"/>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645"/>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005"/>
    <w:rsid w:val="00556A6F"/>
    <w:rsid w:val="0055710E"/>
    <w:rsid w:val="00557844"/>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6F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BA6"/>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823"/>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4D7C"/>
    <w:rsid w:val="005B52C4"/>
    <w:rsid w:val="005C026B"/>
    <w:rsid w:val="005C0790"/>
    <w:rsid w:val="005C194C"/>
    <w:rsid w:val="005C2169"/>
    <w:rsid w:val="005C2667"/>
    <w:rsid w:val="005C295A"/>
    <w:rsid w:val="005C2C21"/>
    <w:rsid w:val="005C3B4F"/>
    <w:rsid w:val="005C44D1"/>
    <w:rsid w:val="005C52A6"/>
    <w:rsid w:val="005C6812"/>
    <w:rsid w:val="005C6D2C"/>
    <w:rsid w:val="005C70B5"/>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5F9D"/>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64E"/>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434"/>
    <w:rsid w:val="0063460D"/>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202"/>
    <w:rsid w:val="006909A7"/>
    <w:rsid w:val="006913AD"/>
    <w:rsid w:val="006917AF"/>
    <w:rsid w:val="006919C1"/>
    <w:rsid w:val="0069283D"/>
    <w:rsid w:val="00692A50"/>
    <w:rsid w:val="00693997"/>
    <w:rsid w:val="00693B34"/>
    <w:rsid w:val="00694B18"/>
    <w:rsid w:val="00694B30"/>
    <w:rsid w:val="00694B8A"/>
    <w:rsid w:val="00694C2D"/>
    <w:rsid w:val="00696693"/>
    <w:rsid w:val="00697304"/>
    <w:rsid w:val="006A0C3B"/>
    <w:rsid w:val="006A1D42"/>
    <w:rsid w:val="006A29D6"/>
    <w:rsid w:val="006A2EC3"/>
    <w:rsid w:val="006A37C9"/>
    <w:rsid w:val="006A3CFD"/>
    <w:rsid w:val="006A3F40"/>
    <w:rsid w:val="006A5A46"/>
    <w:rsid w:val="006A790B"/>
    <w:rsid w:val="006A7B7D"/>
    <w:rsid w:val="006B01F7"/>
    <w:rsid w:val="006B33B8"/>
    <w:rsid w:val="006B34B3"/>
    <w:rsid w:val="006B371D"/>
    <w:rsid w:val="006B3F77"/>
    <w:rsid w:val="006B4156"/>
    <w:rsid w:val="006B556B"/>
    <w:rsid w:val="006B5AAA"/>
    <w:rsid w:val="006B5DBA"/>
    <w:rsid w:val="006B65A1"/>
    <w:rsid w:val="006B6AB6"/>
    <w:rsid w:val="006B717C"/>
    <w:rsid w:val="006B732C"/>
    <w:rsid w:val="006B7797"/>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5240"/>
    <w:rsid w:val="006D618E"/>
    <w:rsid w:val="006D62DA"/>
    <w:rsid w:val="006D662E"/>
    <w:rsid w:val="006D66E8"/>
    <w:rsid w:val="006D6AEC"/>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656"/>
    <w:rsid w:val="0074207B"/>
    <w:rsid w:val="00742164"/>
    <w:rsid w:val="007425D5"/>
    <w:rsid w:val="007434DC"/>
    <w:rsid w:val="0074407C"/>
    <w:rsid w:val="007443EA"/>
    <w:rsid w:val="007444A8"/>
    <w:rsid w:val="0074476D"/>
    <w:rsid w:val="00744C0E"/>
    <w:rsid w:val="0074539C"/>
    <w:rsid w:val="00745752"/>
    <w:rsid w:val="00745890"/>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704F3"/>
    <w:rsid w:val="007710F2"/>
    <w:rsid w:val="007716E9"/>
    <w:rsid w:val="00772C13"/>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46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7FD"/>
    <w:rsid w:val="007E4AD4"/>
    <w:rsid w:val="007E5C16"/>
    <w:rsid w:val="007E5C40"/>
    <w:rsid w:val="007E7B46"/>
    <w:rsid w:val="007F02C3"/>
    <w:rsid w:val="007F11E6"/>
    <w:rsid w:val="007F20FF"/>
    <w:rsid w:val="007F2388"/>
    <w:rsid w:val="007F2641"/>
    <w:rsid w:val="007F280C"/>
    <w:rsid w:val="007F2FAC"/>
    <w:rsid w:val="007F349F"/>
    <w:rsid w:val="007F475E"/>
    <w:rsid w:val="007F4876"/>
    <w:rsid w:val="007F5BA5"/>
    <w:rsid w:val="007F6891"/>
    <w:rsid w:val="00801D9D"/>
    <w:rsid w:val="00801FD8"/>
    <w:rsid w:val="0080276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18B8"/>
    <w:rsid w:val="00832520"/>
    <w:rsid w:val="00832E80"/>
    <w:rsid w:val="00832EB5"/>
    <w:rsid w:val="00832F22"/>
    <w:rsid w:val="0083565A"/>
    <w:rsid w:val="00835A0B"/>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5BF5"/>
    <w:rsid w:val="008E6B75"/>
    <w:rsid w:val="008E6C61"/>
    <w:rsid w:val="008E7659"/>
    <w:rsid w:val="008E7F9D"/>
    <w:rsid w:val="008F05DE"/>
    <w:rsid w:val="008F09AE"/>
    <w:rsid w:val="008F0AC3"/>
    <w:rsid w:val="008F1774"/>
    <w:rsid w:val="008F1DC5"/>
    <w:rsid w:val="008F1F8E"/>
    <w:rsid w:val="008F2299"/>
    <w:rsid w:val="008F2441"/>
    <w:rsid w:val="008F28C0"/>
    <w:rsid w:val="008F2AFB"/>
    <w:rsid w:val="008F4B96"/>
    <w:rsid w:val="008F53E8"/>
    <w:rsid w:val="008F58D0"/>
    <w:rsid w:val="008F5B6A"/>
    <w:rsid w:val="008F5F59"/>
    <w:rsid w:val="008F640B"/>
    <w:rsid w:val="008F79F2"/>
    <w:rsid w:val="008F7B57"/>
    <w:rsid w:val="0090242B"/>
    <w:rsid w:val="00903866"/>
    <w:rsid w:val="00904AC3"/>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57F8D"/>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5DF"/>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52F7"/>
    <w:rsid w:val="009E6C19"/>
    <w:rsid w:val="009E6E2F"/>
    <w:rsid w:val="009E72FE"/>
    <w:rsid w:val="009F0845"/>
    <w:rsid w:val="009F1250"/>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6451"/>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520F"/>
    <w:rsid w:val="00A75835"/>
    <w:rsid w:val="00A75DAC"/>
    <w:rsid w:val="00A76771"/>
    <w:rsid w:val="00A778F3"/>
    <w:rsid w:val="00A807C0"/>
    <w:rsid w:val="00A80B85"/>
    <w:rsid w:val="00A80C6E"/>
    <w:rsid w:val="00A80EB5"/>
    <w:rsid w:val="00A821AB"/>
    <w:rsid w:val="00A82509"/>
    <w:rsid w:val="00A82DDB"/>
    <w:rsid w:val="00A83FA7"/>
    <w:rsid w:val="00A84AD9"/>
    <w:rsid w:val="00A84CB5"/>
    <w:rsid w:val="00A85D18"/>
    <w:rsid w:val="00A8608E"/>
    <w:rsid w:val="00A86211"/>
    <w:rsid w:val="00A87B90"/>
    <w:rsid w:val="00A87BF7"/>
    <w:rsid w:val="00A9069E"/>
    <w:rsid w:val="00A9152C"/>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C64"/>
    <w:rsid w:val="00AB7A2F"/>
    <w:rsid w:val="00AB7AED"/>
    <w:rsid w:val="00AC0183"/>
    <w:rsid w:val="00AC04B1"/>
    <w:rsid w:val="00AC0698"/>
    <w:rsid w:val="00AC081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161"/>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1EDE"/>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77C"/>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095E"/>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1CD0"/>
    <w:rsid w:val="00C1258B"/>
    <w:rsid w:val="00C12A64"/>
    <w:rsid w:val="00C1305C"/>
    <w:rsid w:val="00C132E2"/>
    <w:rsid w:val="00C13981"/>
    <w:rsid w:val="00C13B83"/>
    <w:rsid w:val="00C13C5D"/>
    <w:rsid w:val="00C13C9B"/>
    <w:rsid w:val="00C13D90"/>
    <w:rsid w:val="00C14080"/>
    <w:rsid w:val="00C147CB"/>
    <w:rsid w:val="00C14998"/>
    <w:rsid w:val="00C14AE0"/>
    <w:rsid w:val="00C14D20"/>
    <w:rsid w:val="00C15E25"/>
    <w:rsid w:val="00C168A4"/>
    <w:rsid w:val="00C168D7"/>
    <w:rsid w:val="00C1728D"/>
    <w:rsid w:val="00C1768D"/>
    <w:rsid w:val="00C202AC"/>
    <w:rsid w:val="00C207A9"/>
    <w:rsid w:val="00C20852"/>
    <w:rsid w:val="00C20865"/>
    <w:rsid w:val="00C20CF2"/>
    <w:rsid w:val="00C218B6"/>
    <w:rsid w:val="00C21B28"/>
    <w:rsid w:val="00C21D3B"/>
    <w:rsid w:val="00C22262"/>
    <w:rsid w:val="00C229E9"/>
    <w:rsid w:val="00C22F9B"/>
    <w:rsid w:val="00C24064"/>
    <w:rsid w:val="00C243EA"/>
    <w:rsid w:val="00C24573"/>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3E48"/>
    <w:rsid w:val="00C54C13"/>
    <w:rsid w:val="00C54D4A"/>
    <w:rsid w:val="00C54DF5"/>
    <w:rsid w:val="00C54E36"/>
    <w:rsid w:val="00C54E3F"/>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A7C53"/>
    <w:rsid w:val="00CB1279"/>
    <w:rsid w:val="00CB13DF"/>
    <w:rsid w:val="00CB27D5"/>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3FE"/>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8CA"/>
    <w:rsid w:val="00D17BE1"/>
    <w:rsid w:val="00D20446"/>
    <w:rsid w:val="00D20EFA"/>
    <w:rsid w:val="00D2121B"/>
    <w:rsid w:val="00D215BF"/>
    <w:rsid w:val="00D21D0C"/>
    <w:rsid w:val="00D2332E"/>
    <w:rsid w:val="00D24201"/>
    <w:rsid w:val="00D242A6"/>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579C"/>
    <w:rsid w:val="00D56213"/>
    <w:rsid w:val="00D566EA"/>
    <w:rsid w:val="00D56F2E"/>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1DE8"/>
    <w:rsid w:val="00DB2117"/>
    <w:rsid w:val="00DB259D"/>
    <w:rsid w:val="00DB29B3"/>
    <w:rsid w:val="00DB3F87"/>
    <w:rsid w:val="00DB41D7"/>
    <w:rsid w:val="00DB4476"/>
    <w:rsid w:val="00DB45F8"/>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219D"/>
    <w:rsid w:val="00DE23E7"/>
    <w:rsid w:val="00DE2E13"/>
    <w:rsid w:val="00DE3856"/>
    <w:rsid w:val="00DE415E"/>
    <w:rsid w:val="00DE5343"/>
    <w:rsid w:val="00DE5BEF"/>
    <w:rsid w:val="00DE66AB"/>
    <w:rsid w:val="00DE66CD"/>
    <w:rsid w:val="00DE6958"/>
    <w:rsid w:val="00DE755D"/>
    <w:rsid w:val="00DF14FB"/>
    <w:rsid w:val="00DF5638"/>
    <w:rsid w:val="00DF58A9"/>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815"/>
    <w:rsid w:val="00E52B34"/>
    <w:rsid w:val="00E53F83"/>
    <w:rsid w:val="00E54271"/>
    <w:rsid w:val="00E5515A"/>
    <w:rsid w:val="00E552B0"/>
    <w:rsid w:val="00E55E39"/>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5C93"/>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0D01"/>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65E"/>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825"/>
    <w:rsid w:val="00F75C81"/>
    <w:rsid w:val="00F760BB"/>
    <w:rsid w:val="00F76A97"/>
    <w:rsid w:val="00F77B5A"/>
    <w:rsid w:val="00F77CFC"/>
    <w:rsid w:val="00F803E8"/>
    <w:rsid w:val="00F810F2"/>
    <w:rsid w:val="00F81192"/>
    <w:rsid w:val="00F81513"/>
    <w:rsid w:val="00F81D51"/>
    <w:rsid w:val="00F82083"/>
    <w:rsid w:val="00F82179"/>
    <w:rsid w:val="00F826EA"/>
    <w:rsid w:val="00F82E88"/>
    <w:rsid w:val="00F83AB3"/>
    <w:rsid w:val="00F859EC"/>
    <w:rsid w:val="00F85A23"/>
    <w:rsid w:val="00F85AEE"/>
    <w:rsid w:val="00F863D0"/>
    <w:rsid w:val="00F864AB"/>
    <w:rsid w:val="00F86554"/>
    <w:rsid w:val="00F8717B"/>
    <w:rsid w:val="00F87688"/>
    <w:rsid w:val="00F877F0"/>
    <w:rsid w:val="00F87ECD"/>
    <w:rsid w:val="00F9028E"/>
    <w:rsid w:val="00F9171E"/>
    <w:rsid w:val="00F91899"/>
    <w:rsid w:val="00F91E35"/>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00A"/>
    <w:rsid w:val="00FA63DF"/>
    <w:rsid w:val="00FA6754"/>
    <w:rsid w:val="00FA6A60"/>
    <w:rsid w:val="00FA6C44"/>
    <w:rsid w:val="00FA6ECF"/>
    <w:rsid w:val="00FA74FF"/>
    <w:rsid w:val="00FA7AA6"/>
    <w:rsid w:val="00FA7C01"/>
    <w:rsid w:val="00FA7C9C"/>
    <w:rsid w:val="00FA7D10"/>
    <w:rsid w:val="00FA7DED"/>
    <w:rsid w:val="00FB0A05"/>
    <w:rsid w:val="00FB2B42"/>
    <w:rsid w:val="00FB3DAE"/>
    <w:rsid w:val="00FB45CA"/>
    <w:rsid w:val="00FB5072"/>
    <w:rsid w:val="00FB52BF"/>
    <w:rsid w:val="00FB54E3"/>
    <w:rsid w:val="00FB5BE2"/>
    <w:rsid w:val="00FB6293"/>
    <w:rsid w:val="00FB62CF"/>
    <w:rsid w:val="00FB67B4"/>
    <w:rsid w:val="00FB7704"/>
    <w:rsid w:val="00FB79BC"/>
    <w:rsid w:val="00FB7C14"/>
    <w:rsid w:val="00FC0500"/>
    <w:rsid w:val="00FC0ACC"/>
    <w:rsid w:val="00FC0C3B"/>
    <w:rsid w:val="00FC0C3D"/>
    <w:rsid w:val="00FC14CF"/>
    <w:rsid w:val="00FC1A4E"/>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1064"/>
    <w:rsid w:val="00FE1DDA"/>
    <w:rsid w:val="00FE2763"/>
    <w:rsid w:val="00FE2E74"/>
    <w:rsid w:val="00FE3153"/>
    <w:rsid w:val="00FE3327"/>
    <w:rsid w:val="00FE357C"/>
    <w:rsid w:val="00FE3FB8"/>
    <w:rsid w:val="00FE41B8"/>
    <w:rsid w:val="00FE4729"/>
    <w:rsid w:val="00FE4ABC"/>
    <w:rsid w:val="00FE4D3E"/>
    <w:rsid w:val="00FE4F0E"/>
    <w:rsid w:val="00FE6BAD"/>
    <w:rsid w:val="00FE6FF7"/>
    <w:rsid w:val="00FE78A7"/>
    <w:rsid w:val="00FE7C80"/>
    <w:rsid w:val="00FF2F94"/>
    <w:rsid w:val="00FF35C5"/>
    <w:rsid w:val="00FF37B2"/>
    <w:rsid w:val="00FF530E"/>
    <w:rsid w:val="00FF5C3C"/>
    <w:rsid w:val="00FF66BF"/>
    <w:rsid w:val="00FF7695"/>
    <w:rsid w:val="29729D5D"/>
    <w:rsid w:val="456B1CF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6C748D2-F6B6-4F6B-984B-81738D839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Type">
    <w:name w:val="Type"/>
    <w:basedOn w:val="Normal"/>
    <w:link w:val="TypeChar"/>
    <w:qFormat/>
    <w:rsid w:val="003279BA"/>
    <w:pPr>
      <w:jc w:val="center"/>
    </w:pPr>
    <w:rPr>
      <w:b/>
      <w:bCs/>
    </w:rPr>
  </w:style>
  <w:style w:type="character" w:customStyle="1" w:styleId="TypeChar">
    <w:name w:val="Type Char"/>
    <w:basedOn w:val="DefaultParagraphFont"/>
    <w:link w:val="Type"/>
    <w:rsid w:val="003279BA"/>
    <w:rPr>
      <w:rFonts w:ascii="CVS Health Sans" w:hAnsi="CVS Health Sans"/>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37611">
      <w:bodyDiv w:val="1"/>
      <w:marLeft w:val="0"/>
      <w:marRight w:val="0"/>
      <w:marTop w:val="0"/>
      <w:marBottom w:val="0"/>
      <w:divBdr>
        <w:top w:val="none" w:sz="0" w:space="0" w:color="auto"/>
        <w:left w:val="none" w:sz="0" w:space="0" w:color="auto"/>
        <w:bottom w:val="none" w:sz="0" w:space="0" w:color="auto"/>
        <w:right w:val="none" w:sz="0" w:space="0" w:color="auto"/>
      </w:divBdr>
    </w:div>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2.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3.xml><?xml version="1.0" encoding="utf-8"?>
<ds:datastoreItem xmlns:ds="http://schemas.openxmlformats.org/officeDocument/2006/customXml" ds:itemID="{19602E3F-8AB3-48E4-8035-33F02020C697}"/>
</file>

<file path=customXml/itemProps4.xml><?xml version="1.0" encoding="utf-8"?>
<ds:datastoreItem xmlns:ds="http://schemas.openxmlformats.org/officeDocument/2006/customXml" ds:itemID="{A243CFE1-08DE-432F-83DD-4933F5F97812}">
  <ds:schemaRefs>
    <ds:schemaRef ds:uri="http://schemas.microsoft.com/office/2006/metadata/properties"/>
    <ds:schemaRef ds:uri="http://schemas.microsoft.com/office/infopath/2007/PartnerControls"/>
    <ds:schemaRef ds:uri="9e5e3151-c0b7-45db-a3fc-693419218584"/>
    <ds:schemaRef ds:uri="140c881a-ad29-41df-bf4a-49828f8e0a8a"/>
    <ds:schemaRef ds:uri="d8141934-0c15-45a3-8ee8-53e64ae38189"/>
    <ds:schemaRef ds:uri="043d2832-9d9b-42b0-abd6-be76ec978c95"/>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4</Pages>
  <Words>836</Words>
  <Characters>5120</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pazopanib-Votrient 2009-A SGM 2024</vt:lpstr>
    </vt:vector>
  </TitlesOfParts>
  <Company>PCS Health Systems</Company>
  <LinksUpToDate>false</LinksUpToDate>
  <CharactersWithSpaces>5945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pazopanib-Votrient 2009-A SGM 2024</dc:title>
  <dc:subject/>
  <dc:creator>CVS Caremark</dc:creator>
  <cp:keywords/>
  <cp:lastModifiedBy>Tristano, Stephanie G</cp:lastModifiedBy>
  <cp:revision>19</cp:revision>
  <cp:lastPrinted>2018-01-09T11:01:00Z</cp:lastPrinted>
  <dcterms:created xsi:type="dcterms:W3CDTF">2024-06-19T07:07:00Z</dcterms:created>
  <dcterms:modified xsi:type="dcterms:W3CDTF">2025-01-03T16:42:00Z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12856300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